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商务英语专业能力评价工作测评内容及设备要求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测评内容</w:t>
      </w:r>
    </w:p>
    <w:p>
      <w:pPr>
        <w:keepNext w:val="0"/>
        <w:keepLines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四级测评由听力理解、阅读与写作、商务知识与翻译三个部分组成。总分100分，测试时长130分钟。题型、题目数量及所占分值如下表所示。</w:t>
      </w:r>
    </w:p>
    <w:tbl>
      <w:tblPr>
        <w:tblStyle w:val="3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559"/>
        <w:gridCol w:w="1701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题型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题目数量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听力理解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选择（匹配）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简答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小计：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阅读与写作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商务信息解读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商务阅读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与写作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阅读理解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阅读写作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小计：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商务知识与翻译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商务用语英译汉及释义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商务短文汉译英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小计：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</w:tbl>
    <w:p>
      <w:pPr>
        <w:keepNext w:val="0"/>
        <w:keepLines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八级：八级测评由听力理解、阅读理解、翻译和写作四个部分组成。总分100分，测试时长180分钟。题型、题目数量及所占分值如下表所示。</w:t>
      </w:r>
    </w:p>
    <w:tbl>
      <w:tblPr>
        <w:tblStyle w:val="3"/>
        <w:tblW w:w="835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843"/>
        <w:gridCol w:w="1701"/>
        <w:gridCol w:w="2268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题目数量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题型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听力理解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对话</w:t>
            </w:r>
            <w:bookmarkStart w:id="0" w:name="OLE_LINK8"/>
            <w:bookmarkStart w:id="1" w:name="OLE_LINK7"/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bookmarkEnd w:id="0"/>
            <w:bookmarkEnd w:id="1"/>
            <w:r>
              <w:rPr>
                <w:rFonts w:hint="eastAsia" w:ascii="仿宋_GB2312" w:eastAsia="仿宋_GB2312"/>
                <w:sz w:val="24"/>
                <w:szCs w:val="24"/>
              </w:rPr>
              <w:t>独白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填空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简答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选择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阅读理解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阅读篇章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简答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选择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段落回填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翻译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篇章翻译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汉译英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写作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写作任务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图表评述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短文写作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3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总计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测试网址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instrText xml:space="preserve"> HYPERLINK "http://www.tbem.org/" </w:instrTex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5"/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http://www.tbem.org/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三、场地要求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考场选择：考生应选择一个安静、独立、封闭的室内空间作为考场，避免在公共场所如公共教室、图书馆、咖啡馆等进行考试。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环境布置：考场区域内不得存放与考试无关的物品，如书籍、记事本、带字草稿纸、雕像、照片等。考场应选择光线充足的地方，确保视频拍摄清晰，避免在光线过暗或过亮的环境中进行考试。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eastAsia="仿宋_GB2312"/>
          <w:b/>
          <w:bCs/>
          <w:sz w:val="28"/>
          <w:szCs w:val="28"/>
        </w:rPr>
        <w:t>设备要求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考生需要准备符合要求的考试电脑、耳机、网络和手机。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考试电脑需配备可正常使用的摄像头，</w:t>
      </w:r>
      <w:bookmarkStart w:id="2" w:name="OLE_LINK6"/>
      <w:r>
        <w:rPr>
          <w:rFonts w:hint="eastAsia" w:ascii="仿宋_GB2312" w:eastAsia="仿宋_GB2312"/>
          <w:sz w:val="28"/>
          <w:szCs w:val="28"/>
        </w:rPr>
        <w:t>一部可以听听力的耳机，稳定的网络以及一部可以联络监考老师的手机。建议优先使用有线网络，连接外网（非校园网），带宽100M+；操作系统win7及以上/mac；提前对考试设备进行检测，确保设备正常，网络稳定。</w:t>
      </w:r>
      <w:bookmarkEnd w:id="2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</w:rPr>
        <w:t>其他要求：考试过程全程录像，考试设备需要保持充足电量（建议全程外接电源或接入移动电源），关闭手机提示音。</w:t>
      </w:r>
    </w:p>
    <w:p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55FDBE-5DB0-45CA-BBC5-9A762E8D50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C9C828-8D5F-498D-AF98-E992C0C744D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9706F5E-4E1A-4C30-BC05-850573D07E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GNiZGJkYjMwNGNkZmNhMjkwOWU3NmFlZTE5NDIifQ=="/>
  </w:docVars>
  <w:rsids>
    <w:rsidRoot w:val="273A2810"/>
    <w:rsid w:val="273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2026-04-20T07:42:00Z</dcterms:created>
  <dc:creator>cathy自然卷</dc:creator>
  <cp:lastModifiedBy>cathy自然卷</cp:lastModifiedBy>
  <dcterms:modified xsi:type="dcterms:W3CDTF">2026-04-20T07:43:43Z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CF3EB98936C4452CA5EA7770ABB47FBB_11</vt:lpwstr>
  </property>
</Properties>
</file>